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05.11.2020, оставленным без изменения постановлением Восемнадцатого арбитражного апелляционного суда от 20.01.2021 и постановлением Арбитражного суда Уральского округа от 01.06.2021, исковые требования удовлетворены.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акты, в удовлетворении иска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банком (кредитор) и предпринимателем (заемщик) 26.11.2018 заключен кредитный договор № 016/8597/20899-7743, по условиям которого кредитор обязался предоставить заемщику кредит в сумме 2 900 000 рублей для целей развития бизнеса, а заемщик обязался возвратить полученные денежные средства в срок до 26.11.2020 согласно графику и уплатить проценты за пользование кредитом из расчёта 14,5 процентов годовых. Исполняя условия кредитного договора, банк перечислил на счет предпринимателя денежные средства, что подтверждается платежным поручением от 26.11.2018 № 878188. Неисполнение в установленный срок предпринимателем обязательств по кредитному договору послужило основанием для направления требования о досрочном возврате суммы кредита и процентов, а также о выплате неустойки. Требование банка предпринимателем не исполнено, в связи с чем банк обратился в арбитражный суд. Удовлетворяя заявленные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329 , 331 , 333 , 811 , 819 , 821.1 Гражданского кодекса Российской Федерации (далее – ГК РФ), пришли к выводу о доказанности банком факта ненадлежащего исполнения предпринимателем договорных обязательств, с чем согласился суд округа. Судебные инстанции указали, что отсутствие у должника необходимых денежных средств не освобождает его от ответственности за неисполнение или ненадлежащее исполнение обязательства при осуществлении предпринимательской деятельности. Оснований для снижения заявленной к взысканию неустойки с учетом положений статьи 333 ГК РФ судами не установлено.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предпринимателя, изложенные в кассационной жалобе, в том числе о тяжелом финансовом положении, возможности предоставления финансовых каникул с учетом ограничений, связанных с короновирусной инфекцией,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"Сбербанк России" (подробнее) Судьи дела: Антонова М.К.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