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обратилось в суд с заявлением о привлечении руководителя должника ФИО1 к субсидиарной ответственности. Определением Арбитражного суда города Москвы от 30.11.2020, оставленным без изменения постановлением Девятого арбитражного апелляционного суда от 24.02.2021, заявление удовлетворено. Постановлением Арбитражного суда Московского округа от 31.05.2021 данные судебные акт отменены, обособленный спор направлен на новое рассмотрение в Арбитражный суд города Москвы. В кассационной жалобе, поданной в Верховный Суд Российской Федерации, заявитель просит отменить постановление суда округа, оставить в силе определение суда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Направляя спор на новое рассмотрение, суд округа, руководствуясь статьями 61.11 и 61.12 Федерального закона от 26.10.2002 № 127-ФЗ «О несостоятельности (банкротстве)», пунктами 4, 9 и 24 постановления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исходил из того, что имеющие значение для надлежащего разрешения настоящего обособленного спора фактические обстоятельства судами первой и апелляционной инстанций в полном объеме не установлены. При новом рассмотрении судам, в том числе необходимо дать надлежащую оценку доводам участвующих в обособленном споре лиц, в том числе доводу ФИО1 о том, что после 14.06.2017 у должника не возникло новых кредиторов, а также надлежащим образом установить как именно несвоевременное исполнение ФИО1 обязанности по передаче документации повлияло на проведение процедуры банкротства.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Доводы заявителя не свидетельствуют о наличии существенных нарушений норм процессуального права, влекущих за собой безусловную отмену обжалуемого судебного акта.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«Ньютон»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ИФНС России №25 по г. Москве (подробнее) ООО "ГЕЛЕС-ТРЕЙДИНГ" (подробнее) ООО К/у "Восток-Нафта" Филин Ю.В. (подробнее) ООО "НПО" (подробнее) ООО "Ньютон" (подробнее) Ответчики: ООО "ВОСТОК ЭНЕРГО ГРУПП" (подробнее) Иные лица: Ассоциация "СГАУ" (подробнее) МИФНС России №46 по г. Москве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