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10.11.2020, оставленным без изменения постановлениями Пятого арбитражного апелляционного суда от 25.02.2021 и Арбитражного суда Дальневосточного округа от 10.06.2021, иск министерства удовлетворен.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и обществом заключены соглашения о реализации мероприятий государственной программы Сахалинской области «Развитие в Сахалинской области сельского хозяйства и регулирование рынков сельскохозяйственной продукции, сырья и продовольствия на 2014-2020 годы» на 2015 год; о предоставлении субсидий в рамках реализации мероприятий государственной программы Сахалинской области «Развитие в Сахалинской области сельского хозяйства и регулирование рынков сельскохозяйственной продукции, сырья и продовольствия на 2014-2020 годы» на 2017 год, на основании которых обществу предоставлены субсидии на компенсацию затрат на строительство 3-ей очереди строительства тепличного комплекса площадью 8 га для круглогодичного выращивания овощей. По результатам проведенной внеплановой выездной проверки на предмет соблюдения условий предоставления в 2017 году субсидий на возмещение затрат по технической и технологической модернизации сельского хозяйства в части строительства тепличного комплекса площадью 8 га для круглогодичного выращивания овощей министерством установлено двойное субсидирование по третьей очереди строительства в 2015 и 2017 годах. Поскольку требование о возврате субсидий оставлено обществом без удовлетворения, министерство обратилось в арбитражный суд. Исследовав и оценив представленные в материалы дела доказательства, руководствуясь положениями статьи 78 Бюджетного кодекса Российской Федерации, Общими требованиями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06.09.2016 № 887, Порядком предоставления субсидий на поддержку и развитие сельского хозяйства Сахалинской области, утвержденным постановлением Правительства Сахалинской области от 17.03.2016 № 110, суды пришли к выводу о наличии оснований для удовлетворения иска. Судебные инстанции исходили из необоснованного повторного предоставления субсидии одному и тому же получателю (обществу) для строительства одного и того же объекта (3-ей очереди строительства тепличного комплекса). При исследовании обстоятельств дела установлено повторное получение обществом по одним и тем же документам в 2017 году субсидии в размере 36 041 067 рублей, а также получение излишне выплаченной в 2015 году субсидии в размере 2 425 100 рублей в результате снижения стоимости оборудования; соблюдение министерством срока исковой давности.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«Совхоз «Тепличный»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сельского хозяйства и торговли Сахалинской области (подробнее) Министерство сельского хозяйства Сахалинской обл. (подробнее) Ответчики: АО "Совхоз Тепличный"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