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09.10.2020, оставленным без изменения постановлением Девятого арбитражного апелляционного суда от 09.02.2021 и постановлением Арбитражного суда Московского округа от 09.06.2021, исковое заявление удовлетворено. 2 В кассационной жалобе, поданной в Верховный Суд Российской Федерации, фонд,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министерством и фондом 17.12.2018 заключено соглашение № 073-10-2018-004 о предоставлении из федерального бюджета гранта в форме субсидии в рамках реализации отдельных мероприятий государственной программы Российской Федерации «Развитие образования». В соответствии с соглашением грант в форме субсидии предоставляется на реализацию мероприятий, направленных на полноценное функционирование и развитие русского языка основного мероприятия «развитие открытого образования на русском языке и обучения русскому языку» направления (подпрограммы) «развитие и распространение русского языка как основы гражданской самоидентичности и языка международного диалога («русский язык»)» государственной программы Российской Федерации «Развитие образования». Денежные средства в размере 7 000 000 рублей перечислены министерством на расчетный счет получателя гранта. Требование министерства о возврате предоставленной субсидии в связи с существенным нарушением фондом условий соглашения, фондом не исполнено, что послужило основанием для обращения министерства в арбитражный суд. 3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пришли к выводу о наличии оснований для взыскания с ответчика заявленной суммы субсидии, с чем согласился суд округа. Судебные инстанции исходили из доказанности истцом факта ненадлежащего исполнения условий заключенного соглашения, выразившегося в непредставлении доказательств целевого расходования средств гранта и средств софинансирования, нарушении требований пункта 4.3.5 соглашения, необеспечении экономного и результативного использования средств гранта, непредставлении документов, подтверждающих расходование субсидии, а также реализации заявленного проекта.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«Поддержки стратегических инициатив»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