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24.11.2020 заявленное требование удовлетворено частично, признано недействительным решение управления в части выводов о незаконности включения требований о конкретных показателях товара, соответствующие значениям, установленным в документации об электронном аукционе в первую часть заявки. В удовлетворении остальной части заявленного требования отказано. Постановлением Семнадцатого арбитражного апелляционного суда от 09.02.2021, оставленным без изменения постановлением Арбитражного суда Уральского округа от 27.05.2021, решение суда первой инстанции отменено, в удовлетворении заявления отказано. В кассационной жалобе, поданной в Верховный Суд Российской Федерации, ФИО1, ссылаясь на существенное нарушение норм права, просит отменить судебные акты апелляционного суда и суда округа,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19.03.2020 на официальном сайте опубликовано извещение о проведении электронного аукциона № 0862300039620000041 и аукционная документация на работы по ремонту гидроизоляции фундаментов, заказчиком работ являлась школа, организатором закупки - учреждение. По результатам рассмотрения аукционной комиссией заявка общества отклонена, в связи с чем общество обратилось в антимонопольный орган с жалобой. Решением управления жалоба общества признана частично обоснованной, в действиях заказчика выявлено нарушение пункта 2 части 3 статьи 66, пункта 2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в действиях аукционной комиссии уполномоченного органа (организатора торгов) выявлено нарушение пункта 2 части 6, части 5 статьи 67 Закона о контрактной системе. Считая ненормативный правовой акт управления незаконным, учреждение обратилось в арбитражный суд. Частично удовлетворяя заявленное требование, суд первой инстанции исходил из того, что выводы оспариваемого решения управления об отсутствии оснований для включения в конкурсную документацию требования об отражении в первой части заявки конкретных показателей товара, соответствующих значениям, установленным в документации об электронном аукционе, не соответствуют закону о контрактной системе. Вместе с тем, соглашаясь с выводами антимонопольного органа, суд пришел к выводу, что указание на товарный знак в заявке участника осуществляется только при наличии такого знака, что прямо установлено в подпункте «б» пункта 2 части 3 статьи 66 Закона о контрактной системе. Кроме того, суд поддержал выводы управления о неправомерности отклонения заявки общества со ссылкой на несоответствие характеристик товара требованиям аукционной документации (пункту 4.14.8 ГОСТ 28013-98). Отменяя решение суда и отказывая в удовлетворении заявления, суд апелляционной инстанции, исследовав и оценив представленные в материалы дела доказательства, руководствуясь положениями Закона о контрактной системе, Гражданского кодекса Российской Федерации, пришел к выводу о том, что решение антимонопольного органа соответствует положениям действующего законодательства и не нарушает права и законные интересы заявителя. Суд апелляционной инстанции исходил из того, что заказчик в нарушение пункта 2 части 3 статьи 66 и пункта 2 части 1 статьи 64 Закона о контрактной системе установил в аукционной документации такое требование к первой части заявки на участие в электронном аукционе, как указание на конкретные показатели. При осуществлении закупок работ или услуг такое требование к первой части заявки применяется только в том случае, если в рамках закупки работ (услуг) осуществляется и поставка товара. Суд округа поддержал выводы суда апелляционной инстанции. Доводы, изложенные в кассационной жалобе, являлись предметом рассмотрения судов апелляционной инстанции и округа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МУНИЦИПАЛЬНОЕ КАЗЕННОЕ ОБЩЕОБРАЗОВАТЕЛЬНОЕ УЧРЕЖДЕНИЕ ГОРОДСКОГО ОКРУГА ЗАРЕЧНЫЙ "СРЕДНЯЯ ОБЩЕОБРАЗОВАТЕЛЬНАЯ ШКОЛА №6" (подробнее) МУНИЦИПАЛЬНОЕ КАЗЕННОЕ УЧРЕЖДЕНИЕ ГОРОДСКОГО ОКРУГА ЗАРЕЧНЫЙ "УПРАВЛЕНИЕ МУНИЦИПАЛЬНОГО ЗАКАЗА" (подробнее) Ответчики: Управление Федеральной антимонопольной службы по Свердловской области (подробнее) Иные лица: ООО "Стройкомплекс"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