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28.10.2020, оставленным без изменения постановлениями Третьего арбитражного апелляционного суда от 21.01.2021 и Арбитражного суда Восточно-Сибирского округа от 02.06.2021,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документарной проверки с целью осуществления государственного регионального жилищного надзора за соблюдением требований, установленных законодательством Российской Федерации к деятельности юридического лица, осуществляющего услуги по сбору, транспортировке твердых коммунальных отходов (далее – ТКО), в связи с поступившим обращением гражданина, службой выявлены нарушения обществом (региональный оператор) подпунктов «а», «г» пункта 148 (22)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354), пункта 17 Приложения № 1 к Правилам № 354. Предписанием службы на общество возложена обязанность по принятию мер по устранению выявленных нарушений путем перерасчета начисленной и выставленной платы за коммунальную услугу по обращению с ТКО за период с июня 2019 года по февраль 2020 года. Не соглашаясь с указанным ненормативным правовым актом,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154, 157, 161 Жилищного кодекса Российской Федерации, статей 24.6, 24.7 Федерального закона от 24.06.1998 № 89-ФЗ «Об отходах производства и потребления», Правилами № 354, Правилами обращения с твердыми коммунальными отходами, утвержденными постановлением Правительства Российской Федерации от 12.11.2016 № 1156, пришли к выводу о том, что оспариваемое предписание соответствует действующему законодательству и не нарушает прав и законных интересов общества. Судебные инстанции исходили из необоснованного начисления обществом платы за коммунальную услугу по вывозу ТКО, поскольку региональным оператором не доказан факт оказания услуг в спорный период. При исследовании обстоятельств дела установлено, что контейнерные площадки и контейнеры на придомовых территориях спорных жилых домов отсутствовали в период до 01.11.2019; отсутствуют доказательства фактического оказания услуги по вывозу ТКО, как от контейнерных площадок, ближайших для жителей вышеуказанных домов, так и в отношении жителей этих домов после 01.11.2019, в то время как плата за эту услугу потребителям 3 обществом начислялась; сведения о движении спецавтотранспорта, представленные региональным оператором, не подтверждены сведениями спутниковой навигации ГЛОНАСС, а также не подтверждена принадлежность спецавтотранспорта обществу; отсутствуют электронные маршрутные журналы и сведения спутниковой навигации ГЛОНАСС за период с 01.12.2019 по 29.02.2020. Обстоятельства данного спора и представленные доказательства были предметом рассмотрения и оценки судов.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«Планета-сервис»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