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повторно 14.09.2021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Доводы общества о пропуске срока подачи жалобы в связи с самоизоляцией его сотрудников с признаками заболевания Covid-19 документально не подтверждаются и о наличии уважительных причин не свидетельствуют. Заявитель является инициатором спора и подачи кассационной жалобы, он был надлежащим образом извещен о времени и месте судебного заседания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Внутренние организационные проблемы заявителя также не могут являться основанием для восстановления пропущенного процессуального срока. В соответствии с правовой позицией,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не могут рассматриваться в качестве уважительных причин необходимость согласования с вышестоящим органом (иным лицом) вопроса о подаче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кассационной жалобой. В целях предотвращения злоупотреблений при обжаловании судебных актов следует также учесть, что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3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«Автотур» о восстановлении пропущенного процессуального срока отказать.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