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обратилась в суд с заявлением о взыскании с ФИО1 убытков в размере 2 105 270 рублей 68 копеек. Определением Арбитражного суда Свердловской области от 18.07.2020, оставленным без изменения постановлениями Семнадцатого арбитражного апелляционного суда от 15.09.2020 и Арбитражного суда Уральского округа от 26.02.2021, заявление удовлетворено.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Свердловской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15 , 53 , 53.1 Гражданского кодекса Российской Федерации, статьёй 61.20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установили наличие оснований для взыскания убытков с заявителя, незаконно распорядившегося находившимися денежными средствами должника с использованием электронной цифровой подписи после сложения с себя полномочий руководителя и их передачи новому лицу.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поданной заявителем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МИНИСТЕРСТВА РОССИЙСКОЙ ФЕДЕРАЦИИ ПО НАЛОГАМ И СБОРАМ ПО ВЕРХ-ИСЕТСКОМУ РАЙОНУ Г.ЕКАТЕРИНБУРГА СВЕРДЛОВСКОЙ ОБЛАСТИ (подробнее) Инспекция Федеральной налоговой службы по Верх-Исетскому району г. Екатеринбурга (подробнее) ООО "Автомаркет" (подробнее) ООО "Вира" (подробнее) ООО "Лифтком-Импорт" (подробнее) ООО "Лифтмонтаж-1" (подробнее) ООО "Мастер-Дом" (подробнее) ООО "СКМ" (подробнее) ООО Союзлифтмонтаж (подробнее) ООО Строительная компания "Флагман" (подробнее) Ответчики: ООО ТОРГОВЫЙ ДОМ ВЕК (подробнее) Иные лица: Ассоциация арбитражных управляющих саморегулируемая организация "Центральное агентство арбитражных управляющих" (подробнее) ООО ЗАВОД "ВЕК" (подробнее) ООО "Линт" (подробнее) ООО Центр научно-технических услуг "ВЕК" (подробнее) Союз арбитражных управляющих "Авангард" (подробнее) Управление Федеральной службы судебных приставов по Удмуртской Республике (подробнее) Штркачова Даниела (strkachova Daniela) (подробнее) Судьи дела: Корнелюк Е.С.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