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05.02.2021, оставленным без изменения постановлением Одиннадцатого арбитражного апелляционного суда от 15.04.2021, оспариваемое постановление административного органа изменено в части назначенного наказания в виде 2 административного штрафа в размере 10 000 рублей, который заменен на предупреждение. Арбитражный суд Поволжского округа от 13.07.2021 оставил без изменения решение суда первой инстанции и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в удовлетворении заявления. Согласно части 3 статьи 291.1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рассматриваемом случае дело было рассмотрено в порядке упрощенного производства, а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291.1 - 291.15 Арбитражного процессуального кодекса Российской Федерации. Поэтому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На основании изложенного, руководствуясь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Государственной инспекции Республики Татарстан по обеспечению государственного контроля за производством, оборотом и качеством этилового спирта и алкогольной продукции и защите прав потребителей прекратить.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