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16.11.2020, оставленным без изменения постановлением Девятого арбитражного апелляционного суда от 03.02.2021 и постановлением Арбитражного суда Московского округа от 06.07.2021, в удовлетворении заявления отказано. В кассационной жалобе, поданной в Верховный Суд Российской Федерации, департамент, ссылаясь на существенное нарушение судами норм права, просит отменить судебные акты, дело направить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департаментом и ООО ПЭК «Гарант» заключен государственный контракт от 10.02.2020 на выполнение комплексных работ по обследованию и оценке технического состояния строительных конструкций объекта. В связи с нарушением обществом сроков выполнения работ первого этапа календарного плана департаментом на основании п. 9.2.1 контракта принято решение от 27.04.2020 № ДС-11-9757/20 об одностороннем отказе государственного заказчика от исполнения контракта и 21.05.2020 в управление направлено обращение о включении информации в отношении ООО ПЭК «Гарант» в реестр недобросовестных поставщиков. По результатам рассмотрения указанного заявления антимонопольным органом принято решение от 01.06.2020 по делу № 077/10/19-9184/2020 об отказе во включении сведений об обществе в реестр недобросовестных поставщиков. Не согласившись с решением управления, департамент обратился в арбитражный суд. Отказывая в удовлетворении заявленного требования, судебные инстанции,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учитывая разъяснения, изложенные в пункте 41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правовые позиции Конституционного Суда Российской Федерации, изложенные в постановлениях от 30.07.2001 № 13-П и от 21.11.2002 года № 15-П, Высшего Арбитражного Суда Российской Федерации, изложенные в определении от 23.10.2012 № ВАС13566/12, исходили из отсутствия оснований для включения сведений об обществе в реестр недобросовестных поставщиков. Суды указали, что представленные доказательства свидетельствуют о том, что обществом в ходе исполнения контракта проявлена добросовестность и заинтересованность в его исполнении, доказательств совершения виновных действий, направленных на умышленное уклонение от исполнения контракта департаментом не представлено. Отклоняя довод департамента о том, что подрядчик направил результаты работ посредствам электронной почты, то есть способом, который не предусмотрен контрактом, суды отметили, что указанный факт не свидетельствует о недобросовестности заявителя при исполнении работ по контракту. Установив данные обстоятельства, суды признали решение антимонопольного органа законным и обоснованным.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строительства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строительства города Москвы (подробнее) Ответчики: УФАС по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