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ФИО2 обратился в суд с заявлением о привлечении бывшего руководителя должника ФИО1 к субсидиарной ответственности в размере 1 628 153 рубля 70 копеек. Определением Арбитражного суда Московской области от 16.04.2020, оставленным без изменения постановлениями Десятого арбитражного апелляционного суда от 02.02.2021 и Арбитражного суда Московского округа от 02.06.2021,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61.11 и 126 Федерального закона от 26.10.2002 № 127-ФЗ «О несостоятельности (банкротстве)», исходили из наличия совокупности условий, необходимых для привлечения ФИО1, являвшегося руководителем и единственным учредителем должника в период с 05.02.2003 до даты признания последнего банкротом, к субсидиарной ответственности ввиду неполного исполнения обязанности по передаче документации должника и умышленное сокрытие документации, что повлекло затруднения в проведении процедур банкротства, а также совершения ФИО1 недобросовестных действий во вред должнику.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ЗАО "Ди Ай Уай Лоджистик" (подробнее) ООО "Строительный Альянс" (подробнее) Ответчики: ООО "Юганск" (подробнее) Иные лица: НЕКОММЕРЧЕСКОЕ ПАРТНЁРСТВО - СОЮЗ "МЕЖРЕГИОНАЛЬНАЯ САМОРЕГУЛИРУЕМАЯ ОРГАНИЗАЦИЯ ПРОФЕССИОНАЛЬНЫХ АРБИТРАЖНЫХ УПРАВЛЯЮЩИХ "АЛЬЯНС УПРАВЛЯЮЩИХ"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