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«Сбербанк России» (далее – банк) обратилось в суд с заявлениями, объединёнными в одно производство для совместного рассмотрения, о включении в третью очередь реестра требований кредиторов должника (далее – реестр) 12 409 101 рубля 40 копеек. Определением Арбитражного суда Самарской области от 30.12.2021, оставленным без изменения постановлениями Одиннадцатого арбитражного апелляционного суд от 19.02.2021 и Арбитражного суда Поволжского округа от 14.05.2021, требования банка в вышеуказанном размере включены в третью очередь реестра.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положениями статей 196 , 203 и 206 Гражданского кодекса Российской Федерации, статей 71 и 100 Федерального закона от 26.10.2002 № 127-ФЗ «О несостоятельности (банкротстве)», и исходили их того, что требования банка подтверждены надлежащими доказательствами, заявлены в установленный срок и не погашены заявителем, в связи с чем удовлетворили заявление.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Приводимые заявителем в жалобе доводы о пропуске банком срока исковой давности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ПАО "Сбербанк России" в лице Самарского отделения №6991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