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«Травертино» (далее – общество «Травертино») обратилось в суд с заявлением о включении в реестр требований кредиторов должника (далее – реестр) задолженности в размере 13 261 507 рублей 32 копейки. Впоследствии общество «Содержание плюс» обратилось в суд с заявлением о процессуальном правопреемстве по заявлению общества «Травертино» о включении требования в реестр. Определением Арбитражного суда города Москвы от 22.12.2020, оставленным без изменения постановлениями Девятого арбитражного апелляционного суда от 09.04.2021 и Арбитражного суда Московского округа от 25.06.2021, частично удовлетворено заявление общества «Содержание плюс» о правопреемстве, произведена замена общества «Травертино» на его правопреемника – общество «Содержание плюс» в размере требований 6 287 793 рубля 65 копеек по договорам займа от 16.05.2017 № 05/16-Т-К и от 20.09.2016, отказано во включении в реестр требования общества «Содержание плюс» в размере 6 287 793 рубля 65 копеек. Требования общества «Травертино» в размере 6 973 713 рубля 67 копеек признаны обоснованными и подлежащими удовлетворению в очередности, предшествующей распределению ликвидационной квоты. 2 В кассационной жалобе, поданной в Верховный Суд Российской Федерации, заявитель просит отменить названные судебные акты в части отказа в процессуальной замене общества «Травертино» на общество «Содержание Плюс» по договору займа от 21.04.2017 № 21/04-Т-К, признания погашенными требований, вытекающих из договоров от 16.05.2017 № 05/16-Т-К и от 20.09.2016.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48 Арбитражного процессуального кодекса Российской Федерации, статьями 382, 384 и 410 Гражданского кодекса Российской Федерации, установив, что требования по сделке от 21.04.2017 № 21/04-Т-К не вошли в состав приобретённой обществом «Содержание Плюс» дебиторской задолженности, а также установив погашение требований по сделкам от 16.05.2017 № 05/16-Т-К и от 20.09.2016, пришли к выводу об отсутствии оснований для удовлетворения требований общества «Содержание Плюс»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