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23.11.2020, оставленным без изменения постановлением Двадцатого арбитражного апелляционного суда от 09.02.2021 и постановлением Арбитражного суда Центрального округа от 09.06.2021, в удовлетворении заявленных требований отказано.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общество (покупатель) и компания (продавец) 01.09.2015 заключили договор № 2015-110 (далее – договор), предметом которого являлась поставка металлического цинка. Обращаясь в арбитражный суд с настоящим иском, общество сослалось на положения статей 10, 168, 169, 178, 179 Гражданского кодекса Российской Федерации, а также вступивший в законную силу приговор Зареченского районного суда г. Тулы от 19.07.2019, вынесенный в отношении Илюхина К.А., и указало на то, что Илюхин К.А., состоявший в период заключения и исполнения договора как в штате общества, так и в штате компании, действовал недобросовестно и исключительно с целью личного обогащения путем причинения вреда имущественным интересам общества, введя в заблуждение руководителя последнего.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10, 48, 49, 50, 87, 166, 168, 169, 178, 179, 181, 199, 421 Гражданского кодекса Российской Федерации, разъяснениями, изложенными в постановлении Пленума Верховного Суда Российской Федерации от 23.06.2015 «О применении судами некоторых положений раздела I части первой Гражданского кодекса Российской Федерации», суды первой и апелляционной инстанций пришли к выводу об отсутствии оснований для признания оспариваемой сделки недействительной, поскольку истец не доказал ни злоупотребления правом ответчиком, ни того, что договор был заключен под влиянием заблуждения либо обмана. Кроме того суды указали на пропуск обществом срока исковой давности по требованиям о признании сделки недействительной на основании статей 168, 169 Гражданского кодекса Российской Федерации, что является самостоятельным основанием для отказа в иске. Суд округа согласился с выводами судов первой и апелляционной инстанций. Выводы судов подробно мотивированы в обжалуемых судебных актах. Доводы кассационной жалобы повторяют позицию истца при рассмотрении спора, выводов судов не опровергают, основаны на иной оценке обстоятельств дела. Поскольку существенных нарушений норм материального и (или) процессуального права, повлиявших на исход дела, судами не допущено, оснований для передачи кассационной жалобы для рассмотрения в судебном 3 заседании Судебной коллегии по экономическим спорам Верховного Суда Российской Федерации не имеется. Учитывая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«Спецтрансмонолит-Т»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