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бывшего руководителя должника Русакова Александра Александровича убытков в размере 700 000 рублей. Определением Арбитражного суда Республики Татарстан от 22.03.2021, оставленным без изменения постановлением Одиннадцатого арбитражного апелляционного суда от 17.05.2021, заявление удовлетворено. Постановлением Арбитражного суда Поволжского округа от 20.07.2021 данные судебные акты отменены, обособленный спор направлен на новое рассмотрение в Арбитражный суд Республики Татарстан.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Направляя обособленный спор на новое рассмотрение, суд округа руководствовался статьями 196 и 200 Гражданского кодекса Российской Федерации, пунктами 3 и 13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 из того, что содержащиеся в принятых по нему судебных актах выводы, касающиеся применения срока исковой давности, основаны на не полном выяснении всех обстоятельств, имеющих существенное значение для правильного разрешения настоящего спора.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конкурсного управляющего должником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Мухтарову Рустаму Марсовичу и конкурсному управляющему обществом с ограниченной ответственностью «Высокие технологии медицины» Плеханову Ивану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