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обратился в суд с заявлением о признании недействительной сделкой зачёта взаимных требований на сумму 60 000 рублей, заключенной со ФИО2, и применении последствий недействительности сделки. Определением Арбитражного суда Республики Коми от 19.10.2020, оставленным без изменения постановлениями Второго арбитражного апелляционного суда от 27.01.2021 и Арбитражного суда Волго-Вятского округа от 26.05.2021,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Коми.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положениями статьи 61.3 Федерального закона от 26.10.2002 № 127-ФЗ «О несостоятельности (банкротстве)», установив, что сделка совершена в рамках обычной хозяйственной деятельности и не привела к оказанию ФИО2 предпочтения перед иными кредиторами по текущим обязательствам должника, исходили из отсутствия причин для удовлетворения требования по заявленным основаниям.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товариществом собственников жилья «Крепость»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Т Плюс (подробнее) Ответчики: ТСЖ Крепость (подробнее) Иные лица: ИФНС по г.Сыктывкару (подробнее) к/у Чиж Владислав Леонидович (подробнее) МТС Банк (подробнее) ООО "Пингвин" (подробнее) ПАО Филиал "БАНК УРАЛСИБ" (подробнее) Служба Республики Коми строительного, жилищного и технического надзора (контроля) (подробнее) УФССП Главному судебному приставу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