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Ивановской области от 31.12.2020 процедура реализации имущества гражданки ФИО1 завершена, должник освобожден от дальнейшего исполнения требований кредиторов. Постановлением Второго арбитражного апелляционного суда от 15.03.2021 определение суда первой инстанции оставлено без изменения. Арбитражный суд Волго-Вятского округа постановлением от 02.06.2021 указанные судебные акты оставил без изменения. Общество с ограниченной ответственностью «Кредит Коллект»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Руководствуясь положениями статьи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суды установили проведение финансовым управляющим всех мероприятий, предусмотренных в процедуре банкротства гражданина, направленных на обнаружение имущества должника и формирование конкурсной массы для расчетов с кредиторами, невозможность увеличения конкурсной массы и отсутствие положительного эффекта при продлении процедуры банкротства, отсутствие в действиях должника противоправного поведения и отсутствие обстоятельств, препятствующих применению в отношении должника правила об освобождении от дальнейшего исполнения требований кредиторов.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«Кредит Коллект»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