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28.10.2020, оставленным без изменения постановлением Девятого арбитражного апелляционного суда от 01.02.2021 и постановлением Арбитражного суда Московского округа от 25.05.2021, первоначальные исковые требования удовлетворены, в удовлетворении встречных исковых требований отказано. В кассационной жалобе, поданной в Верховный Суд Российской Федерации, учреждение, ссылаясь на нарушение судами норм права, несоответствие выводов судов фактическим обстоятельствам,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Предъявленные взаимные требования общества (поставщик) и учреждения (заказчик) основаны на договоре на изготовление и поставку товара от 26.09.2017 № 190-28/005/17 в редакции дополнительных соглашений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статьи 10 , глав 30 , 37 , 39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иска, исходя из подтвержденности факта выполнения обществом обязательств и несения дополнительных расходов по договору, а также злоупотребления учреждением своими правами, выраженном в формальном отказе от исполнения взятых на себя обязательств. Суд округа согласился с выводами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бюджетного учреждения «Государственный региональный центр стандартизации, метрологии и испытаний в г. Москве и Московской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