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21.07.2021 направил в Верховный Суд Российской Федерации кассационную жалобу на указанные судебные акты и одновременно заявил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Принимая во внимание положения части 3 статьи 291.5 Арбитражного процессуального кодекса Российской Федерации, согласно которым возвращение кассационной жалобы не препятствует повторному обращению с кассационной жалобой после устранения обстоятельств, послуживших основанием для ее возвращения, учитывая направление первоначальной жалобы 23.06.2021 с незначительным пропуском, а также оперативное устранение заявителем причин, послуживших основанием для возврата первоначально поданной жалобы, в целях обеспечения процессуальных гарантий, вытекающих из права на судебную защиту, включающего и право на обжалование судебных постановлений, ходатайство о восстановлении срока подлежит удовлетворению, пропущенный срок подлежит восстановлению. Руководствуясь статьями 117 , 184 ,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Федеральной службы по надзору в сфере транспорта о восстановлении пропущенного срока удовлетворить, пропущенный срок на подачу кассационной жалобы восстановить. Судья Верховного Суда Российской Федерации А.Г. Першутов Суд: Верховный Суд РФ (подробнее) Истцы: ЗАО "АЗАЛ" (подробнее) Ответчики: ФЕДЕРАЛЬНАЯ СЛУЖБА ПО НАДЗОРУ В СФЕРЕ ТРАНСПОРТА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