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26.11.2020, оставленным без изменения постановлением Седьмого арбитражного апелляционного суда от 26.02.2021, заявленные требования удовлетворены. Постановлением Арбитражного суда Западно-Сибирского округа от 24.06.2021 указанные судебные акты оставлены без изменения. Таможенный орган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Руководствуясь положениями статей 25.1 , 25.15, 28.2 Кодекса Российской Федерации об административных правонарушениях, суды удовлетворили требования, установив существенное нарушение таможенным органом процедуры привлечения к административной ответственности, и признав, что на момент составления протокола об административном правонарушении таможенный орган не располагал сведениями о надлежащем извещении истца о месте и времени совершения данного процессуального действия, лицу не обеспечена возможность реализовать гарантии, предусмотренные статьей 28.2 указанного Кодекса. Доводы жалобы были предметом рассмотрения судов и им дана исчерпывающая правовая оценка применительно к установленным обстоятельствам дела и разъяснениям, изложенным в пункте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пунктах 24, 24.1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"ГЕОПРОТЕК" (подробнее) Ответчики: ДОМОДЕДОВСКАЯ ТАМОЖНЯ (подробнее) Иные лица: Арбитражный суд Западно-Сибирского округа (подробнее) Почтовое отделение 630117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