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29.10.2020 в удовлетворении иска отказано. Постановлением Девятого арбитражного апелляционного суда от 10.02.2021 решение суда первой инстанции отменено, иск общества удовлетворен. Арбитражный суд Московского округа постановлением от 31.05.2021 постановление суда апелляционной инстанции оставил без изменения. В кассационной жалобе, поданной в Верховный Суд Российской Федерации, предприятие, ссылаясь на существенные нарушения норм материального права, несоответствие выводов судов фактическим обстоятельствам дела,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(покупатель) и предприятием (поставщик) заключен договор поставки в целях выполнения государственного оборонного заказа в рамках исполнения государственного контракта. В обоснование иска обществом указано, что предприятием не исполнено обязательство по предоставлению отчетной калькуляции фактических затрат в установленный договором срок, в связи с чем поставщику начислен штраф в размере 17 325 000 рублей. Суд первой инстанции, отказывая в удовлетворении иска, исходил из того, что просрочка предоставления отчетной калькуляции была обусловлена поведением общества, а также из отсутствия у покупателя действительной заинтересованности в получении отчетной калькуляции. Суд отметил, что поставщик действовал добросовестно, с отсутствием намерения причинить вред другому лицу, либо с целью совершить действия в обход закона с противоправной целью. Отменяя решение суда первой инстанции, суд апелляционной инстанции, оценив представленные доказательства, руководствуясь положениями статей 1, 8, 309, 310, 330, 421, 422 Гражданского кодекса Российской Федерации, Федерального закона от 29.12.2012 № 275-ФЗ «О государственном оборонном заказе», пришел к выводу о правомерности заявленного искового требования, с чем согласился суд округа. Суд апелляционной инстанции исходил из наличия оснований для возложения на предприятие гражданско-правовой ответственности в виде выплаты штрафа, не усмотрев оснований для применения статьи 333 Гражданского кодекса Российской Федерации. При исследовании обстоятельств дела установлено нарушение поставщиком обязательств по предоставлению в установленный договором срок отчетной калькуляции затрат с расшифровками. Доводы, изложенные в кассационной жалобе, повторяют позицию предприятия по спору, являлись предметом рассмотрения судов, не опровергают их выводы и не подтверждают существенного нарушения норм материального и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3 кассационном производстве, в связи с чем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Научно-инженерное предприятие «Информзащита»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