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обратился в суд с заявлением об истребовании у бывших руководителей должника Степанова Евгения Александровича, Курловича (Невского) Алексея Александровича и Башировой Ранизи Вакифовны векселей, сведений о дебиторской задолженности за три года и документов, подтверждающих дебиторскую задолженность. Определением Арбитражного суда Республики Татарстан от 12.12.2019, оставленным без изменения постановлением Одиннадцатого арбитражного апелляционного суда от 26.02.2020, заявление удовлетворено в части требований к Степанову Е.А. об истребовании векселей, отказано в удовлетворении остальной части заявления. Постановлением Арбитражного суда Поволжского округа от 12.08.2020 данные судебные акты отменены в части отказа в истребовании у Степанова Е.А. документов, подтверждающих дебиторскую задолженность, в отменённой части обособленный спор направлен на новое рассмотрение в Арбитражный суд Республики Татарстан. 2 При новом рассмотрении определением Арбитражного суда Республики Татарстан от 20.08.2020 объединены для совместного рассмотрения нерассмотренная часть заявления к Степанова Е.А. и заявление конкурсного управляющего об истребовании в солидарном порядке у Башировой Р.В., Курловича (Невского) А.А., Степанова Е.А. документации: перечень всех дебиторов должника с указанием их идентификационных данных, договоры, соглашения, акты и иные первичные документы, подтверждающие наличие дебиторской задолженности на общую сумму 360 505 000 рублей согласно бухгалтерскому балансу за 9 месяцев 2017 года. Определением Арбитражного суда Республики Татарстан от 25.12.2020, оставленным без изменения постановлениями Одиннадцатого арбитражного апелляционного суда от 17.03.2021 и Арбитражного суда Поволжского округа от 26.05.2021, заявления удовлетворены в части требований к Степанову Е.А.,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Исходя из доводов кассационной жалобы, заявитель не согласен с выводами судов в части отсутствия оснований для истребования документации должника у Курловича (Невского) А.А. и Башировой Р.В.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126 Федерального закона от 26.10.2002 № 127-ФЗ «О несостоятельности (банкротстве)», исходили из отсутствия причин для удовлетворения части требований по заявленным основаниям ввиду отсутствия надлежащих доказательств, подтверждающих наличие у Башировой Р.В. и Курловича (Невского) А.А. истребуемой конкурсным управляющим должника документации. Выводы судов в обжалуемой части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«Страховая группа «АСКО»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