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02.02.2021, оставленным без изменения постановлениями Девятого арбитражного апелляционного суда от 15.04.2021 и Арбитражного суда Московского округа от 01.07.2021, исковое требование удовлетворено. В кассационной жалобе, поданной в Верховный Суд Российской Федерации, банк ставит вопрос об отмене принятых по делу судебных актов, ссылаясь на существенное нарушение норм процессуального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обществом в банке открыт расчетный счет, с которого на основании судебных приказов мировых судей, представленных третьими лицами (получателями), списано 804 000 рублей. Оставление банком без удовлетворения претензии общества о возврате списанных с расчетного счета денежных средств явилось основанием для обращения в арбитражный суд. Оценив представленные в материалы дела доказательства, суды, руководствуясь положениями статей 15, 309, 310, 393, 395, 847, 854, 856, 864 Гражданского кодекса Российской Федерации, Федерального закона от 27.06.2011 № 161-ФЗ «О национальной платежной системе», Федерального закона от 02.10.2007 № 229-ФЗ «Об исполнительном производстве», Положением о правилах осуществления перевода денежных средств, утвержденным Банком России 19.06.2012 № 383-П, учитывая рекомендации, изложенные в Письме Центрального банка Российской Федерации от 02.10.2014 № 167-т «О мерах по снижению операционных рисков при принятии к исполнению исполнительных документов», принимая во внимание правовую позицию, изложенную в постановлении Пленума Высшего Арбитражного Суда Российской Федерации от 19.04.1999 № 5 «О некоторых вопросах практики рассмотрения споров, связанных с заключением, исполнением и расторжением договоров банковского счета»,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установив, что банк как субъект профессиональной предпринимательской деятельности в области проведения операций по счетам клиентов и осуществляющий их с определенной степенью риска, должен нести ответственность в виде возмещения убытков, причиненных неправильным списанием принадлежащих обществу денежных средств, пришли к выводу об удовлетворении искового требования. Обстоятельства данного спора и представленные доказательства были предметом рассмотрения и оценки судов. Доводы кассационной жалобы направлены на иную 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3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содействия коммерции и бизнесу»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