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01.12.2020, оставленным без изменения постановлениями Одиннадцатого арбитражного апелляционного суда от 12.02.2021 и Арбитражного суда Поволжского округа от 31.05.2021, в удовлетворении заявления отказано. 2 В кассационной жалобе предприниматель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признан победителем электронного аукциона на поставку строительных материалов для ремонта кровли здания общежития № 3 для осужденных, овощехранилища, в связи с чем учреждением (заказчик) в адрес предпринимателя направлен проект контракта. Поскольку заявителем не исполнены обязанности по подписанию проекта контракта, по надлежащему предоставлению обеспечения исполнения обязательства, заказчик обратился в антимонопольный орган с информацией о поставщике, признанном уклонившимся от заключения контракта по итогам электронного аукциона. По результатам рассмотрения представленных сведений антимонопольным органом вынесено оспариваемое решение, которым сведения в отношении предпринимателя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83.2,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соответствии оспариваемого ненормативного правового акта управления действующему законодательству. При этом судебные инстанции исходили из недобросовестного поведения со стороны предпринимателя при заключении контракта. Суды указали, что уклонение от заключения контракта выразилось в допущенном заявителем бездействии, когда участник аукциона, не проявляя в должной степени заботливости и осмотрительности, не принимает необходимых мер по последовательному и неукоснительному соблюдению 3 регламентированной законом процедуры заключения контракта, создавая тем самым условия, не позволяющие заказчику с оптимальными издержками добиться «заданных результатов», что ведет к неэффективному использованию бюджетных средств. Кроме того, суды отметили, что предприниматель, заметив несоответствие в описании товара в спецификации, не был лишен возможности направить заказчику протокол разногласий с указанием замечаний к положениям проекта контракта, не соответствующим документации и (или) извещению о закупке и своей заявке на участие в электронной процедуре, однако этого не сделал.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Бабушкину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