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Хабаровского края от 20.01.2021, оставленным без изменения постановлением Шестого арбитражного апелляционного суда от 17.03.2021, в удовлетворении требования отказано. Постановлением Арбитражного суда Дальневосточного округа от 04.06.2021 указанные судебные акты оставлены без изменения. В кассационной жалобе, поступившей в Верховный Суд Российской Федерации, учреждение здравоохранения просит отменить состоявшиеся по делу судебные акты, считая их незаконными и необоснованными.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доказательства, руководствуясь статьями 117, 198 Арбитражного процессуального кодекса Российской Федерации, суды отказали в удовлетворении требования в связи с пропуском учреждением здравоохранения установленного срока на подачу заявления в арбитражный суд и отсутствием уважительных причин его пропуска. Обжалуя судебные акты в Верховный Суд Российской Федерации, учреждение здравоохранения приводит доводы, которые являлись предметом рассмотрения судов и получили надлежащую правовую оценку с учетом 3 установленных обстоятельств, связанных с моментом, когда учреждению стало известно о нарушении его прав и законных интересов. Доводы жалобы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Учитывая изложенное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