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19.05.2020, оставленным без изменения постановлением 2 Тринадцатого арбитражного апелляционного суда от 20.01.2021, в удовлетворении заявленного требования отказано. Постановлением Арбитражного суда Северо-Западного округа от 31.05.2021 указанные судебные акты оставлены без изменения. В кассационной жалобе общество просит отменить принятые по делу судебные акты, считая их незаконными и необоснованными. Между тем, в соответствии с частью 1 статьи 291.1, частью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Таким образом,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 по данной категории дел, передача кассационной жалобы в Судебную коллегию Верховного Суда Российской Федерации не приведет к защите прав и законных интересов заявителя. При установленных обстоятельствах доводы жалобы не являются достаточными в целях передачи жалобы для рассмотрения в судебном 3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