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26.11.2020, оставленным без изменения постановлением Седьмого арбитражного апелляционного суда от 08.02.2021, заявленные требования удовлетворены. Постановлением Арбитражного суда Западно-Сибирского округа от 25.05.2021 указанные судебные акты оставлены без изменения. Таможенный орган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Руководствуясь положениями статей 25.1 , 25.15, 28.2 Кодекса Российской Федерации об административных правонарушениях, суды удовлетворили требования, установив существенное нарушение таможенным органом процедуры привлечения к административной ответственности, и признав, что на момент составления протокола об административном правонарушении таможенный орган не располагал сведениями о надлежащем извещении истца о месте и времени совершения данного процессуального действия, лицу не обеспечена возможность реализовать гарантии, предусмотренные статьей 28.2 указанного Кодекса. Доводы жалобы были предметом рассмотрения судов и им дана исчерпывающая правовая оценка применительно к установленным обстоятельствам дела и разъяснениям, изложенным в пункте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пунктах 24, 24.1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"ГЕОПРОТЕК" (подробнее) Ответчики: ДОМОДЕДОВСКАЯ ТАМОЖНЯ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