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18.09.2021 обратился в Верховный Суд Российской Федерации с жалобой на определение судьи Верховного Суда Российской Федерации от 28.07.2021 № 305-ЭС19-21340 (24), определение Арбитражного суда города Москвы от 07.07.2020, постановление Девятого арбитражного апелляционного суда от 14.12.2020 и постановление Арбитражного суда Московского округа от 07.04.2021 по делу № А40-86520/2018,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статьёй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истёк. Доводов, обосновывающих уважительность пропуска рассматриваемого срока, заявителем не приведено. С учётом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291.2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Щемелинина Алексея Леонидовича о восстановлении пропущенного процессуального срока отказать. Жалобу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