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Яковлев А.И. обратился в суд с жалобой на действия конкурсного управляющего должником Щукина Антона Олеговича и взыскании с последнего убытков. Определением Арбитражного суда города Москвы от 08.12.2020, оставленным без изменения постановлениями Девятого арбитражного апелляционного суда от 17.02.2021 и Арбитражного суда Московского округа от 25.05.2021,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обособленный спор направить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15 и 366 Гражданского кодекса Российской Федерации, статей 20.3 и 20.4 Федерального закона от 26.10.2002 № 127-ФЗ «О несостоятельности (банкротстве)», исходили из недоказанности причин для удовлетворения требования по заявленным основаниям ввиду недоказанности наличия действиях Щукина А.О. вменяемых ему нарушений законодательства о несостоятельности, а также причинно-следственной связи между действиями (бездействием) Щукина А.О. и убытками на стороне должника.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Яковлеву Анатолию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