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«Росалко» (далее – общество) обратилось в суд с заявлением о включении в реестр требований кредиторов должника (далее – реестр) задолженности в размере 1 400 000 рублей. Определением Арбитражного суда города Москвы от 09.12.2020, оставленным без изменения постановлениями Девятого арбитражного апелляционного суда от 12.03.2021 и Арбитражного суда Московского округа от 25.06.2021, требование общества включено в третью очередь реестра.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 признании требования обоснованным и подлежащим удовлетворению в очерёдности, предшествующей распределению ликвидационной квоты.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71, 100 и 142 Федерального закона от 26.10.2002 № 127-ФЗ «О несостоятельности (банкротстве)», пунктом 25, абзацем вторым пункта 27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исходили из отсутствия оснований для понижения очерёдности требований общества.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Абазехова Хадиса Часамбиевича Крылову Александру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