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16.09.2021 повторно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общества о пропуске срока подачи жалобы в связи с самоизоляцией его сотрудников с признаками заболевания Covid-19 документально не подтверждаются и о наличии уважительных причин не свидетельствуют. Заявитель является инициатором спора и подачи кассационной жалобы, он был надлежащим образом извещен о времени и месте судебного заседания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Внутренние организационные проблемы заявителя также не могут являться основанием для восстановления пропущенного процессуального срока.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3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«Автопарк» о восстановлении пропущенного процессуального срока отказать.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