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Пинкевич Анастасии Игоревны определением Арбитражного суда города Москвы от 10.07.2019 признано обоснованным и включено в третью очередь реестра требований кредиторов должника требование ООО «Зерновая компания «Настюша» в размере 179 886 699 рублей 54 копеек основного долга. Пинкевич Анастасия Игоревна обратилась в Арбитражный суд города Москвы с ходатайством о разъяснении определения суда первой инстанции. Определением Арбитражного суда города Москвы от 04.02.2021 в удовлетворении ходатайства должника отказано. Постановлением Девятого арбитражного апелляционного суда от 19.04.2021 определение суда первой инстанции оставлено без изменения. Арбитражный суд Московского округа постановлением от 20.07.2021 указанные судебные акты оставил без изменения. Пинкевич Анастасия Игоревна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статьей 179 Арбитражного процессуального кодекса Российской Федерации и исходили из того, что принятый судебный акт о включении требования в реестр требований кредиторов должника не содержит неясностей, а заявление должника о разъяснении судебного акта фактически направлено на изменение его содержания.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Пинкевич Анастасии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