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29.10.2020, оставленным без изменения постановлением Девятнадцатого арбитражного апелляционного суда от 18.02.2021 и постановлением Арбитражного суда Центрального округа от 24.05.2021, в удовлетворении исковых требований отказано. В кассационной жалобе, поданной в Верховный Суд Российской Федерации, учреждение, ссылаясь на нарушение судами норм материального права, просит отменить указанные судебные акты и принять новый судебный акт об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учреждения (заказчик) мотивированы некачественным выполнением обществом (исполнитель) работ по договорам от 20.06.2013, от 27.05.2013.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спорных договоров, руководствуясь статьями 309, 310, 431, 758, 761, 763, 768 Гражданского кодекса Российской Федерации, положениями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нужд», разъяснениями, изложенными в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установив, что сторонами при заключении договоров не согласован вид и объем ответственности исполнителя за ненадлежащее качество выполненных работ, суды первой и апелляционной инстанций пришли к выводу об отсутствии оснований для привлечения ответчика к ответственности в виде взыскания штрафа. Суд округа поддержал выводы судов первой и апелляционной инстанций. Доводы кассационной жалобы не опровергают приведенные выводы судов, не подтверждают нарушений судами норм материального и процессуального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областного казенного учреждения «Управление капитального строительства Липецкой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