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13.07.2020, оставленным без изменения постановлением Девятого арбитражного апелляционного суда от 12.02.2021 и постановлением Арбитражного суда Московского округа от 21.05.2021,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 от 03.09.2003, дополнительного соглашения к нему от 12.05.2017, руководствуясь статьями 309, 310, 328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16 «О свободе договора и ее пределах», суды первой и апелляционной инстанций пришли к выводу о наличии оснований для отказа в удовлетворении первоначального иска и удовлетворения встречных требований, исходя из подтвержденности факта ненадлежащего исполнения обществом (исполнитель) обязательств по договору и отсутствия доказательств оказания им услуг на перечисленную компанией (заказчик) сумму предоплаты. Суд округа поддержал выводы судов первой и апелляционной инстанций. Ссылка заявителя на то, что интересы ответчика в суде первой инстанции представляли неуполномоченные лица, подлежит отклонению. Как следует из решения суда первой инстанции, в судебном заседании участвовали представители ответчика Лебедев В.А. и Федотов М.В., действующие на основании доверенностей от 06.12.2019. Суд в соответствии с положениями статей 63 и 153 Арбитражного процессуального кодекса Российской Федерации допустил названных представителей к участию в судебном заседании, проверив и признав их полномочия.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3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«Санстрим»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