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16.06.2021, оставленным без изменения постановлением Девятнадцатого арбитражного апелляционного суда от 30.07.2021, настоящее дело передано по подсудности на рассмотрение Тамбовского областного суда. В кассационной жалобе, поступившей в Верховный Суд Российской Федерации, Никольских У.В. просит отменить указанные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2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Принимая обжалуемые судебные акты, суды, руководствуясь положениями статьи 30.1 Кодекса Российской Федерации об административных правонарушениях, статей 27, 29, 207 Арбитражного процессуального кодекса Российской Федерации, учитывая разъяснения, данные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исходили из того, что дело об обжаловании указанного решения административного органа не подлежит рассмотрению в арбитражном суде. Сведений о том, что Никольских У.В. обращалась с аналогичными требованиями в суд общей юрисдикции, который отказался бы рассматривать указанный спор из-за отсутствия компетенции, не представлено, в связи с чем у Никольских У.В. имеется возможность реализовать гарантированное статьей 46 Конституции Российской Федерации право на судебную защиту при рассмотрении дела в суде общей юрисдикции.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Доводы жалобы повторяют правовую позицию Никольских У.В. в судах первой и апелляционной инстанций,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Никольских Ульяны Владимировны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