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30.09.2020, оставленным без изменения постановлением Семнадцатого арбитражного апелляционного суда от 18.02.2021, в удовлетворении заявленного требования отказано. Арбитражный суд Уральского округа постановлением от 11.06.2021 отменил указанные судебные акты и удовлетворил заявление общества. 2 Департамент обратился в Верховный Суд Российской Федерации с кассационной жалобой на обжалуемый судебный акт, в которой просит его отменить, считая его принятым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При рассмотрении дела суды первой и апелляционной инстанций указали, что Кодекс Российской Федерации об административных правонарушениях связывает возможность возбуждения дела об административном правонарушении с наличием достаточных данных, указывающих на наличие события административного правонарушения, что исключает возможность начала производства по делу об административном правонарушении, в частности, в случае отсутствия события административного правонарушения (пункт 1 часть 1 статьи 24.5 Кодекса). Отменяя судебные акты нижестоящих инстанций, суд округа руководствовался статьей 20 Жилищного кодекса Российской Федерации, статями 23.55, 24.5, 28.1, 28.3 Кодекса Российской Федерации об административных правонарушениях, Положением о Департаменте государственного жилищного и строительного надзора Свердловской области, утвержденным постановлением Правительства Свердловской области от 27.05.2015 № 431-ПП, исходил из того, что принятие решения о возбуждении дела об административном правонарушении или об отказе в его возбуждении требует проверки указанных в заявлении об административном правонарушении сведений, чего в рассматриваемом случае сделано не было, и не предполагает, что такое решение принимается по факту поступления заявления. Доводы жалобы и ссылки на иную судебную практику выводы суда не опровергают.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Кроме того, срок давности привлечения к административной ответственности по данной категории дел на момент рассмотрения настоящей 3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государственного жилищного и строительного надзора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