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Алтайского края от 15.02.2021, оставленным без изменения постановлением Седьмого арбитражного апелляционного суда от 19.04.2021, общество привлечено к административной ответственности по части 4 статьи 14.1 Кодекса Российской Федерации об 2 административных правонарушениях и ему назначено наказание в виде штрафа в размере 50 000 рублей. Постановлением Арбитражного суда Западно-Сибирского округа от 28.07.2021 указанные судебные акты оставлены без изменения. Общество обратилось в Верховный Суд Российской Федерации с кассационной жалобой, в которой просит состоявшиеся по делу судебные акты отменить, считая их незаконными и необоснованными. По смыслу положений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деятельности, а также защита охраняемых законом публичных интересов.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составления протокола и обращения в арбитражный суд с соответствующим заявлением послужил выявленный административным органом факт осуществления обществом деятельности по перевозке пассажиров с нарушениями режима труда и отдыха водителей, что создает угрозу причинения вреда жизни, здоровью граждан. Оценив представленные доказательства, руководствуясь пунктом 38 Положения о лицензировании деятельности по перевозкам пассажиров и иных лиц автобусами, утвержденного постановлением Правительства Российской Федерации от 27.02.2019 № 195, пунктами 7, 15. 24 Положения об особенностях режима рабочего времени и времени отдыха водителей автомобилей, утвержденного приказом Министерства транспорта Российской 3 Федерации от 20.08.2004 № 15, суды пришли к выводу о наличии в действиях общества состава правонарушения, ответственность за которое предусмотрена частью 4 статьи 14.1 Кодекса Российской Федерации об административных правонарушениях. Доводы, изложенные в жалобе, приводились при рассмотрении дела, получили надлежащую правовую оценку, в том числе, с учетом требований части 3 статьи 28.3 Кодекса Российской Федерации об административных правонарушениях, а также исходя из установленных обстоятельств, связанных с составлением протокола об административном правонарушении органом, уполномоченным составлять протоколы об административном правонарушении. Кроме того, учитывая, что санкция части 4 статьи 14.1.2 КоАП РФ более строгая, чем санкция ч.4 ст.14.1 КоАП РФ, по которой заявитель привлечен к административной ответственности, доводы заявителя противоречат как принципу недопустимости ухудшения положения лица, привлекаемого к ответственности, по жалобе самого указанного лица, так и принципу неотвратимости наказания. При таких обстоятельствах существенных нарушений норм материального права, а также требований процессуального законодательства, повлиявших на исход судебного разбирательства и приведших к нарушению прав и законных интересов заявителя,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4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