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28.12.2020 исковые требования удовлетворены. Постановлением Девятого арбитражного апелляционного суда от 17.02.2021 решение суда первой инстанции отменено в части взыскания неустойки, в удовлетворении данного требования отказано. Постановлением Арбитражного суда Московского округа от 02.06.2021 решение суда первой инстанции и постановление суда апелляционной инстанции изменены; с общества в пользу предприятия взыскано 26 555 306 руб. 71 коп. долга, неустойка на сумму долга, начисленная 2 с 07.10.2020 по день фактической оплаты долга, в размере 1 % за каждый день просрочки; в удовлетворении остальной части требований отказано. В кассационной жалобе, поданной в Верховный Суд Российской Федерации, предприятие, ссылаясь на нарушение судами норм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изменяя судебные акты судов первой и апелляционной инстанций, суд округа руководствовался положениями статьи 9.1 Федерального закона от 26.10.2002 № 127-ФЗ «О несостоятельности (банкротстве)» и исходил из того, что неустойка за период с 07.07.2020 по 06.10.2020 в отношении ответчика не подлежит начислению, поскольку последний является лицом, к которому применяется мораторий. Доводы кассационной жалобы не опровергают выводы суда,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«Научно-производственное предприятие «МОНОТЕСТ»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