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Татарстан от 11.06.2020, оставленным без изменения постановлением Одиннадцатого арбитражного апелляционного суда от 01.04.2021 и постановлением Арбитражного суда Поволжского округа от 17.06.2021, иск удовлетворен. В кассационной жалобе, поданной в Верховный Суд Российской Федерации, общество, ссылаясь на неправильное применение судами норм права, просит отменить указанные судебные акты и направить дело на новое рассмотрение в Арбитражный суд Республики Татарстан.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2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установив факт перечисления компанией (генподрядчик) в пользу общества (подрядчик) авансового платежа в рамках договора от 16.04.2018 № 00000000020736171693/7108/Д-05 (в редакции дополнительных соглашений), расторжения названного договора компанией в одностороннем порядке в связи с нарушением обществом срока выполнения работ, отсутствие доказательств выполнения последним работ на спорную сумму до расторжения договора либо ее возврата компании, руководствуясь статьями 309, 310, 450.1, 453, 702, 708, 711, 715, 717, 720, 753, 1102 Гражданского кодекса Российской Федерации, суды первой и апелляционной инстанций пришли к выводу о наличии оснований для удовлетворения иска, с чем впоследствии согласился суд округа. Доводы кассационной жалобы не опровергают выводы судов, не подтверждают существенных нарушений судами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По существу они направлены на переоценку установленных фактических обстоятельств, что не входит в полномочия суда при кассационном производстве. Руководствуясь статьей 291.6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«Арсенал Строй»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