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инспекция 16.09.2021 повторно обратилась в Верховный Суд Российской Федерации с кассационной жалобой,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срока уважительными. Рассмотрев ходатайство, оценив изложенные в нем доводы, судья Верховного Суда Российской Федерации не находит оснований для его удовлетворения исходя из следующего. Доводы инспекции о пропуске срока подачи жалобы в связи с временной нетрудоспособностью и отпуском юриста организации о наличии уважительных причин не свидетельствуют. Заявитель не доказал принятие достаточных мер в целях недопущения пропуска процессуального срока обжалования судебных актов. При этом в любом случае отсутствие в штате организации юриста, а также иные внутренние организационные проблемы юридического лица не могут рассматриваться в качестве уважительных причин пропуска процессуального срока. Кроме того, к материалам кассационной жалобы не приложена соответствующим образом заверенная копия документа представителя о высшем юридическом образовании либо учёной степени по юридической специальности.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Государственной инспекции по контролю за использованием объектов недвижимости города Москвы о восстановлении пропущенного процессуального срока отказать. Жалобу возвратить заявителю. Судья Верховного Суда А.Г. Першутов Российской Федерации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