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10.09.2021 повторно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Доводы общества о пропуске срока подачи жалобы в связи с самоизоляцией его сотрудников с признаками заболевания Covid-19 документально не подтверждаются и о наличии уважительных причин не свидетельствуют. Заявитель является инициатором спора и подачи кассационной жалобы, он был надлежащим образом извещен о времени и месте судебного заседания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Заявитель не доказал принятие достаточных мер в целях недопущения пропуска процессуального срока обжалования судебных актов. Внутренние организационные проблемы заявителя также не могут являться основанием для восстановления пропущенного процессуального срока. В соответствии с правовой позицией,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не могут рассматриваться в качестве уважительных причин необходимость согласования с вышестоящим органом (иным лицом) вопроса о подаче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кассационной жалобой. В целях предотвращения злоупотреблений при обжаловании судебных актов следует также учесть, что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«Интершина» о восстановлении пропущенного процессуального срока отказать. Жалобу возвратить заявителю. Судья Верховного Суда А.Г. Першутов Российской Федерации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