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Павлов М.В. обратился в суд с заявлением о признании недействительными сделками платежей должника в пользу учреждения, совершенные в период с 14.07.2017 по 17.04.2018 на общую сумму 1 774 000 рублей. Определением Арбитражного суда города Псковской области от 24.02.2021, оставленным без изменения постановлением Четырнадцатого арбитражного апелляционного суда от 28.04.2021, отказано в удовлетворении заявления. Постановлением Арбитражного суда Северо-Западного округа от 05.08.2021 указанные судебные акты отменены, спор направлен на новое рассмотрение в Арбитражный суд Псковской области. Не согласившись с названным постановлением суда округа, заявитель обратилась в Верховный Суд Российской Федерации с кассационной жалобой, ходатайствуя о приостановлении исполнения обжалуемого постановления.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Обжалуемое заявителем постановление от 05.08.2021 об отмене судебных актов и направлении спора новое рассмотрение не предусматривает 2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частного учреждения культуры «Музей Славы Русского оружия» о приостановлении исполнения постановления Арбитражного суда Северо-Западного округа от 05.08.2021 по делу № А52-387/2019 Арбитражного суда города Псковской области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