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суд с иском к арбитражному управляющему ФИО1 о взыскании 831 136 рублей убытков. Решением Арбитражного суда города Санкт-Петербурга и Ленинградской области от 28.05.2020 заявление удовлетворено. Определением Тринадцатого арбитражного апелляционного суда от 28.10.2019, оставленным без изменения постановлением Арбитражного суда Северо-Западного округа от 15.06.2020, отменено определение суда первой инстанции от 19.07.2019, отказано в удовлетворении заявления. В кассационной жалобе, поданной в Верховный Суд Российской Федерации, заявитель просит отменить названные постановления судов апелляционной инстанции и округа, оставить в силе решение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апелляционный суд, руководствуясь положениями статьи 15 Гражданского кодекса Российской Федерации, статьи 20.4 Федерального закона от 26.10.2002 № 127-ФЗ «О несостоятельности (банкротстве)», исходил из отсутствия причин для удовлетворения требования по заявленным основаниям ввиду недоказанности наличия причинно-следственной связи между действиями (бездействием) ФИО1 и убытками на стороне общества.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«Производственная компания «Атланта»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