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предприниматель) обратилась в Арбитражный суд Республики Бурятия с заявлением к территориальному органу Федеральной службы по надзору в сфере здравоохранения по Республике Бурятия (далее – административный орган) о признании незаконным и отмене постановления от 30.03.2020 № 20 о привлечении к административной ответственности, предусмотренной частью 21 статьи 19.5 Кодекса Российской Федерации об административных правонарушениях (далее – КоАП РФ). Решением Арбитражного суда Республики Бурятия от 24.12.2020 по делу № А10-1749/2020, оставленным без изменения постановлением Четвертого арбитражного апелляционного суда от 17.02.2021, предпринимателю отказано в удовлетворении заявления. Арбитражный суд Восточно-Сибирского округа постановлением от 24.05.2021 оставил без изменения решение суда первой инстанции и постановление суда апелляционной инстанции. Предприниматель обратилась в Верховный Суд Российской Федерации с кассационной жалобой на указанные судебные акты, в которой просит их отменить и принять новый судебный акт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30.03.2020 № 20 предприниматель привлечена к административной ответственности, предусмотренной частью 21 статьи 19.5 КоАП РФ, с назначением наказания в виде административного штрафа в размере 10 000 рублей. Не согласившись с указанным постановлением административного органа, предприниматель оспорила его в арбитражном суде. Оценив представленные в материалы дела доказательства и установив, что предприниматель не выполнила в установленный срок законное предписание административного органа, суды первой и апелляционной инстанций пришли к выводу о наличии в действиях предпринимателя состава административного правонарушения, ответственность за которое установлена частью 21 статьи 19.5 КоАП РФ. На основании изложенного, суды признали правомерным оспариваемое постановление административного органа и отказали предпринимателю в удовлетворении заявления. Соглашаясь с выводами судов первой и апелляционной инстанций о соответствии пунктов 2, 6 предписания № 191 от 20.11.2019 законодательству и о наличии у предпринимателя обязанности их исполнить, не исполнение которых свидетельствует о наличии в действиях (бездействии) предпринимателя состава вмененного правонарушения, суд округа оставил без изменения решение суда первой инстанции и постановление суда апелляционной инстанции. Обжалуя судебные акты в Верховный Суд Российской Федерации, предприниматель приводит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совершением предпринимателем вмененного правонарушения и с соблюдением порядка проведения проверки и привлечения предпринимателя к административной ответственности. Несогласие предпринимателя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предпринимателя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предпринимателем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