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признании недействительными торгов, проведенных по продаже имущества должника посредством публичного предложения по лоту, являющемся предметом залога банка: жилой дом, общей площадью 261,2 кв. м, условный номер 50-50-11/032007-250 по адресу: &lt;...&gt;, жилой дом, общей площадью 277,8 кв. м, кадастровый номер 50:11:04:00236:001:0000 по адресу: &lt;...&gt;, земельный участок, общей площадью 15000 кв. м., кадастровый номер 50:11:04:0050107:336, по адресу: &lt;...&gt;, а также о признании недействительным договора купли-продажи от 30.12.2019, заключенного по результатам торгов с ФИО2, и применении последствий недействительности сделки. Определением Арбитражного суда города Москвы от 24.12.2020, оставленным без изменения постановлением Девятого арбитражного апелляционного суда от 29.03.2021 и постановлением Арбитражного суда Московского округа от 15.06.2021,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449 Гражданского кодекса Российской Федерации, статей 110, 111 и 139 Федерального закона от 26.10.2002 № 127-ФЗ «О несостоятельности (банкротстве)», исходили из недоказанности причин для удовлетворения требования банка по заявленным основаниям, указав, в том числе на отказ банка от принятия залогового имущества в качестве оплаты долга.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публичным акционерным обществом «Татфондбанк»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