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Кировской области от 25.12.2020, оставленным без изменения постановлениями Второго арбитражного апелляционного суда от 17.03.2021 и Арбитражного суда Волго-Вятского от 23.06.2021, завершена процедура реализации имущества должника, ФИО2 освобождён от дальнейшего исполнения требований кредиторов.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Исходя из содержания настоящей жалобы, заявитель не согласен с судебными актами в части освобождения должника от дальнейшего исполнения требований кредиторов.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213.28 Федерального закона от 26.10.2002 № 127-ФЗ «О несостоятельности (банкротстве)», исходили из наличия возможности применения в отношении должника правил об освобождении от исполнения обязательств в отсутствии признаков преднамеренного или фиктивного банкротства, указав на недоказанность оснований для неосвобождения должника от обязательств, в том числе на отсутствие признаков его противоправного поведения.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