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09.12.2020 заявленные требования удовлетворены. Постановлением Пятнадцатого арбитражного апелляционного суда от 30.03.2021, оставленным без изменения постановлением Арбитражного суда Северо-Кавказского округа от 11.06.2021, решение суда первой инстанции отменено, в удовлетворении требований отказано. Общество обратилось в Верховный Суд Российской Федерации с кассационной жалобой, в которой просит отменить постановления судов апелляционной и кассационной инстанций,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эксплуатации обществом четырехэтажного кирпичного здания (в том числе один этаж подземный), расположенного по адресу: &lt;...&gt; без разрешения на ввод такого объекта в эксплуатацию, в нарушение положений части 2 статьи 55.24 Градостроительного кодекса Российской Федерации. Частью 5 статьи 9.5 Кодекса Российской Федерации об административных правонарушениях предусмотрена административная ответственность за эксплуатацию объекта капитального строительства без разрешения на ввод его в эксплуатацию, за исключением случаев, если для осуществления строительства, реконструкции, капитального ремонта объектов капитального строительства не требуется выдача разрешения на строительство. Повторно исследовав и оценив представленные в материалы дела доказательства в их совокупности и взаимосвязи, руководствуясь положениями статей 55 , 55.24 Градостроительного кодекса Российской Федерации суд апелляционной инстанции установил наличие в действиях общества признаков состава административного правонарушения, предусмотренного частью 5 статьи 9.5 Кодекса Российской Федерации об административных правонарушениях, с чем согласился суд округа. Судами также установлено, что процедура и срок давности привлечения к административной ответственности соблюдены, обществу назначено наказание в соответствии с санкцией части 5 статьи 9.5 Кодекса Российской Федерации об административных правонарушениях. При изложенных обстоятельствах суды апелляционной и кассационной инстанций пришли к выводу об отсутствии оснований для признания незаконным и отмены оспариваемых постановления и решения административного органа. Несогласие заявителя с установленными судами фактическими обстоятельствами дела, с толкованием норм законодательства, подлежащих применению к рассматриваемым правоотношениям,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