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18.12.2020 заявленные требования удовлетворены частично, с общества в пользу управления взысканы 13 911 933 рубля 57 копеек неустойки и 619 490 рублей 88 копеек штрафа, в остальной части иска отказа. Постановлением Девятого арбитражного апелляционного суда от 24.02.2021, оставленным без изменения постановлением Арбитражного суда Московского округа от 18.06.2021, решение суда первой инстанции изменено, с общества в пользу управления взыскано 8 422 911 рублей 63 копейки неустойки, неустойка по этапу № 3 с 28.07.2020 по дату фактического исполнения обязательства, начисленная на сумму неисполненного обязательства в размере 6 875 075 рублей 10 копеек исходя из одной трехсотой действующей на дату уплаты пени ставки рефинансирования ЦБ РФ, а также штраф в размере 619 490 рублей 88 копеек. В остальной части в удовлетворении иска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управлением и обществом заключен государственный контракт от 02.09.2015 № 765- 09/15/ДСР на выполнение проектно-изыскательских работ, которым подрядчик обязуется выполнить данные работы и сдать их заказчику в установленные контрактом сроки. Основанием для начисления предусмотренной договором неустойки послужило нарушение установленных календарным планом сроков передачи работ. Кроме того, в связи с получением отрицательного заключения экспертизы проектной документации заказчик исчислил предусмотренные договором штрафные санкции. В добровольном порядке требование управления не исполнено, что послужило основанием для обращения в арбитражный суд. Оценив представленные доказательства, руководствуясь положениями Гражданского кодекса Российской Федерации, учитывая правовую позицию, изложенную в постановлении Президиума Высшего Арбитражного Суда Российской Федерации от 29.03.2011 № 14344/10 по делу № А56-78780/2009, суд первой инстанции пришел к выводу о доказанности истцом факта нарушения ответчиком сроков выполнения работ по контракту, правомерном взыскании штрафа за получение отрицательного заключения государственной экспертизы проектной документации. При этом частично удовлетворяя исковое требование, суд указал, что взыскание неустойки за нарушение сроков выполнения работ по контракту с 28.07.2020 по дату фактического исполнения обязательства заявлено неправомерно, поскольку истец направил обществу письмо о необходимости корректировки проектной документации. Изменяя решение суда и взыскивая с общества в пользу управления 8 422 911 рублей 63 копейки неустойки, а также неустойку по этапу № 3 с 28.07.2020 по дату фактического исполнения обязательств, начисленную на сумму неисполненного обязательства в размере 6 875 075 рублей 10 копеек исходя из одной трехсотой действующей на дату уплаты пени ставки рефинансирования ЦБ РФ, а также 619 490 рублей 88 копеек штрафа, суд апелляционной инстанции исходил из доказанности вины ответчика в просрочке исполнения обязательств, указав, что начисление неустойки возможно исключительно от стоимости соответствующего этапа, а не от полной цены контракта, чем руководствовался суд первой инстанции. Суд принял во внимание, что подрядчик приступил к выполнению работ, об их приостановке в связи с невозможностью их выполнения не заявлял; дополнительных соглашений об изменении сроков выполнения работ не заключалось. Суд округа поддержал выводы суда апелляционной инстанции. Доводы общества, изложенные в кассационной жалобе, в том числе о наличии у подрядчика препятствий для выполнения работ, являлись предметом рассмотрения судов, получили надлежащую правовую оценку. Приведенные ответчиком доводы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«Проектно-производственная фирма «Мастер»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Управление делами президента Российской Федерации (подробнее) Ответчики: ООО "ПРОЕКТНО-ПРОИЗВОДСТВЕННАЯ ФИРМА "МАСТЕР" (подробнее) Иные лица: ФГБУ "УЗС Управление делами Президента"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