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Чехачева Александра Федоровича в Арбитражный суд Московской области обратился финансовый управляющий имуществом должника Холкин Сергей Борисович с заявлением о признании недействительными договора купли-продажи доли в уставном капитале ООО «Фирма «Лиза-1» от 03.03.2014, заключенного между должником и Чехачевой Татьяной Ивановной, договора купли-продажи доли в уставном капитале ООО «Фирма «Лиза-1» от 13.06.2017, заключенного между Чехачевой Т.И. и Чехачевой Натальей Александровной, и применении последствий недействительности сделок. Определением Арбитражного суда Московской области от 29.12.2020 признаны недействительными сделки по отчуждению 100 % доли в уставном капитале ООО «Фирма «Лиза-1» и применены последствия недействительности сделок в виде возврата 100 % доли в уставном капитале ООО «Фирма «Лиза-1» в конкурсную массу должника, а также аннулирования регистрационных записей в ЕГРЮЛ за ГРН 7147746213223 от 12.03.2014 и за ГРН 7177747512606 от 06.07.2017. 2 Постановлением Деcятого арбитражного апелляционного суда от 25.03.2021 определение суда первой инстанции оставлено без изменения. Арбитражный суд Московского округа постановлением от 18.06.2021 указанные судебные акты отменил в части применения последствий недействительности сделки и в указанной части направил обособленный спор на новое рассмотрение в Арбитражный суд Московской области, в остальной части принятые по спору судебные акты оставил без изменения. Чехачева Татьяна Ивановна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спорный вопрос, суды руководствовались статьями 19, 61,1 Федерального закона от 26.10.2002 № 127-ФЗ «О несостоятельности (банкротстве)», статьей 10 Гражданского кодекса Российской Федерации и пришли к выводу о том, что оспариваемые взаимосвязанные сделки были совершены между заинтересованными лицами со злоупотреблением правом, на дату заключения договоров купли-продажи доли у должника уже имелись неисполненные обязательства перед кредиторами, что свидетельствует о причинении вреда имущественным интересам кредиторов. Отменяя принятые по обособленному спору судебные акты в части применения последствий недействительности сделок и направляя дело в этой части на новое рассмотрение в суд первой инстанции, суд кассационной инстанции округа действовал в пределах полномочий, предусмотренных статьями 287, 288 Арбитражного процессуального кодекса Российской Федерации. Доводы жалобы выводы судов не опровергают, не подтверждают существенных нарушений норм материального права и норм процессуального 3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Чехачевой Татьяне Ивановне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