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Московской области обратились наследники (дети) умершего должника ФИО3 в лице законного представителя ФИО4 и ФИО5 с ходатайством об исключении из конкурсной массы должника имущества, а именно по 545/10000 долей жилого дома с кадастровым номером 50:11:0000000:38495 и земельного участка с кадастровым номером 50:11:0050409:121, находящихся по адресу: &lt;...&gt;. К участию в рассмотрении дела о банкротстве гражданина в качестве заинтересованных лиц по вопросам, касающимся наследственной массы, с правами лиц, участвующих в деле о банкротстве, привлечены ФИО3, ФИО5, ФИО6 и ФИО1. Определением Арбитражного суда Московской области от 21.12.2020 исключено из конкурсной массы должника имущество – 1090/10000 долей в праве на указанный жилой дом. Постановлением Десятого арбитражного апелляционного суда от 02.03.2021 определение суда первой инстанции оставлено без изменения. Арбитражный суд Московского округа постановлением от 01.06.2021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руководствовались статьями 131, 213.25, 223.1 Федерального закона от 26.10.2002 № 127-ФЗ «О несостоятельности (банкротстве)», статьей 446 Гражданского процессуального кодекса Российской Федерации, статьями 24 , 1112 Гражданского кодекса Российской Федерации, пунктом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учли фактические обстоятельства, установленные по ранее рассмотренным судами общей юрисдикции спорам об обязательной доле наследников в наследственной массе должника и определении порядка пользования спорным жилым домом, и сделали вывод о том, что для наследников (детей) умершего должника жилой дом (обязательные доли в праве собственности) является единственным пригодным для постоянного проживания жилым помещением.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